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Kupní smlouva o prodeji motorového vozidla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Čl.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Smluvní strany.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Jméno a příjmení  .………………………………………………………………………………………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560"/>
        </w:tabs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Trvale bytem  ...…………………………………………………………………………………………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560"/>
        </w:tabs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Rodné číslo  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dále jen „prodávající“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Jméno a příjmení  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560"/>
        </w:tabs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Trvale bytem  .…………………………………………………………………………………………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560"/>
        </w:tabs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Rodné číslo  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dále jen „kupující“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uzavřely k níže uvedenému datu tuto kupní smlouvu o prodeji motorového vozidla.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Čl.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Prohlášení prodávajícího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Prodávající tímto prohlašuje, že je výhradním vlastníkem prodávaného motorového vozidla uvedeného v čl. III této smlouvy, a že mu nejsou známy žádné okolnosti, které by bránily převodu tohoto vozidla.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Čl. 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Předmětem této smlouvy je prodej a koupě níže uvedeného motorového vozidla: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Tovární značka 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Typ model 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Barva vozidla 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Rok výroby 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Identifikační číslo vozidla (VIN) 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Zdvihový objem motoru  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Registrační značka vozidla (SPZ) 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Číslo velkého technického průkazu 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Číslo ověření o registraci vozidla 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(malý technický průkaz)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STK platná do   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Počet ujetých kilometrů   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Počet klíčů 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Stav karoserie vozidla 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Další podrobnosti o prodávaném vozidle (parametry, výbava, příslušenství):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...................................................................................................................................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Čl.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Kupní 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Dohodnutá cena prodávaného motorového vozidla včetně příslušenství činí …………………………Kč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(slovy……………………………………………………………………………). Kupní cenu kupující zaplatí: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v hotovosti při podpisu této smlouvy*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převodem na bankovní účet prodávajícího* č: ……………………….. do …… dnů od podpisu smlouvy.</w:t>
      </w:r>
    </w:p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 nehodící se škrtněte</w:t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Čl. 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Prohlášení kupujícího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Závady vozidla: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Čl. 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0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Povinnosti kupujícího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00"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Nahlášení změn v evidenci držitelů motorových vozidel zajistí kupující a to na svůj náklad.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00"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Kupující bere na vědomí, že prodávající bezprostředně po podpisu smlouvy zruší pojištění odpovědnosti za škodu způsobenou provozem motorového vozidla a kupující je tedy povinen bezodkladně vozidlo pojistit.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Čl. 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Zaplacením kupní ceny uvedené v Čl. IV této smlouvy, přechází na kupujícího vlastnické právo prodávaného motorového vozidla.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Tato smlouva se uzavírá ve dvou vyhotoveních, z nichž každá smluvní strana obdrží jedno.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26.0" w:type="dxa"/>
        <w:jc w:val="left"/>
        <w:tblInd w:w="-245.0" w:type="dxa"/>
        <w:tblLayout w:type="fixed"/>
        <w:tblLook w:val="0000"/>
      </w:tblPr>
      <w:tblGrid>
        <w:gridCol w:w="4193"/>
        <w:gridCol w:w="250"/>
        <w:gridCol w:w="1074"/>
        <w:gridCol w:w="4309"/>
        <w:tblGridChange w:id="0">
          <w:tblGrid>
            <w:gridCol w:w="4193"/>
            <w:gridCol w:w="250"/>
            <w:gridCol w:w="1074"/>
            <w:gridCol w:w="4309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before="240" w:line="48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240" w:line="4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633"/>
              </w:tabs>
              <w:spacing w:before="240" w:line="48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dne 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1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1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1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633"/>
              </w:tabs>
              <w:spacing w:line="21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16" w:lineRule="auto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podpis prodávajícího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1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1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633"/>
              </w:tabs>
              <w:spacing w:line="216" w:lineRule="auto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podpis kupujícího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Style w:val="Heading2"/>
      <w:spacing w:after="120" w:line="276" w:lineRule="auto"/>
      <w:rPr/>
    </w:pPr>
    <w:bookmarkStart w:colFirst="0" w:colLast="0" w:name="_heading=h.op8zktn66kr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-4444</wp:posOffset>
          </wp:positionH>
          <wp:positionV relativeFrom="paragraph">
            <wp:posOffset>276225</wp:posOffset>
          </wp:positionV>
          <wp:extent cx="1028487" cy="3048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487" cy="304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contextualSpacing w:val="1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lastRow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firstCol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lastCol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band1Vert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band2Vert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band1Horz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band2Horz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neCell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nwCell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seCell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  <w:tblStylePr w:type="swCell">
      <w:pPr>
        <w:contextualSpacing w:val="1"/>
      </w:pPr>
      <w:tblPr/>
      <w:tcPr>
        <w:tcMar>
          <w:top w:w="0.0" w:type="nil"/>
          <w:left w:w="115.0" w:type="dxa"/>
          <w:bottom w:w="0.0" w:type="nil"/>
          <w:right w:w="115.0" w:type="dxa"/>
        </w:tcMar>
      </w:tcPr>
    </w:tblStylePr>
  </w:style>
  <w:style w:type="paragraph" w:styleId="Zhlav">
    <w:name w:val="header"/>
    <w:basedOn w:val="Normln"/>
    <w:link w:val="ZhlavChar"/>
    <w:uiPriority w:val="99"/>
    <w:unhideWhenUsed w:val="1"/>
    <w:rsid w:val="00266DEE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66DEE"/>
  </w:style>
  <w:style w:type="paragraph" w:styleId="Zpat">
    <w:name w:val="footer"/>
    <w:basedOn w:val="Normln"/>
    <w:link w:val="ZpatChar"/>
    <w:uiPriority w:val="99"/>
    <w:unhideWhenUsed w:val="1"/>
    <w:rsid w:val="00266DEE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66DE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SNSUwdU+fMsPAnfo7BAKvrIVg==">AMUW2mXpxcgLeBhXzL6WqVaL8X1iJYKWMp7f8B5vg4FlZ2TfJFpC1EHD7ZqmOkAP0bdArSUWW4I1GGq+e6UVn4e+a9CYHm4ESQbqWlIgdKy/ea4mxguHLVA0NGud6FyahzZPK+bF3KAX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2022-12-07T10:42:00Z</dcterms:created>
</cp:coreProperties>
</file>